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BF" w:rsidRDefault="00D71ABF" w:rsidP="00D71ABF">
      <w:pPr>
        <w:pStyle w:val="Heading4"/>
        <w:jc w:val="center"/>
        <w:rPr>
          <w:rFonts w:ascii="Arial" w:hAnsi="Arial" w:cs="Arial"/>
          <w:i/>
        </w:rPr>
      </w:pPr>
      <w:r w:rsidRPr="00D3697E">
        <w:rPr>
          <w:rFonts w:ascii="Arial" w:hAnsi="Arial" w:cs="Arial"/>
          <w:i/>
        </w:rPr>
        <w:t xml:space="preserve"> “</w:t>
      </w:r>
      <w:r>
        <w:rPr>
          <w:rFonts w:ascii="Arial" w:hAnsi="Arial" w:cs="Arial"/>
          <w:i/>
        </w:rPr>
        <w:t>Πολλαπλάσια και υποπολλαπλάσια μονάδων εμβαδού-1</w:t>
      </w:r>
      <w:r w:rsidRPr="00D3697E">
        <w:rPr>
          <w:rFonts w:ascii="Arial" w:hAnsi="Arial" w:cs="Arial"/>
          <w:i/>
        </w:rPr>
        <w:t xml:space="preserve">” </w:t>
      </w:r>
    </w:p>
    <w:p w:rsidR="00D400F9" w:rsidRDefault="00D71ABF" w:rsidP="00D71ABF">
      <w:pPr>
        <w:pStyle w:val="Heading4"/>
        <w:jc w:val="center"/>
        <w:rPr>
          <w:rFonts w:ascii="Arial" w:hAnsi="Arial" w:cs="Arial"/>
          <w:i/>
        </w:rPr>
      </w:pPr>
      <w:r>
        <w:rPr>
          <w:rFonts w:ascii="Arial" w:hAnsi="Arial" w:cs="Arial"/>
          <w:i/>
        </w:rPr>
        <w:t>Ε Τάξη</w:t>
      </w:r>
    </w:p>
    <w:p w:rsidR="00D71ABF" w:rsidRPr="00D3697E" w:rsidRDefault="00D400F9" w:rsidP="00D71ABF">
      <w:pPr>
        <w:pStyle w:val="Heading4"/>
        <w:jc w:val="center"/>
        <w:rPr>
          <w:rFonts w:ascii="Arial" w:hAnsi="Arial" w:cs="Arial"/>
          <w:i/>
        </w:rPr>
      </w:pPr>
      <w:r>
        <w:rPr>
          <w:rFonts w:ascii="Arial" w:hAnsi="Arial" w:cs="Arial"/>
          <w:i/>
        </w:rPr>
        <w:t>Φύλλο εργασίας μαθητή</w:t>
      </w:r>
    </w:p>
    <w:p w:rsidR="00D71ABF" w:rsidRDefault="00D71ABF" w:rsidP="00D71ABF"/>
    <w:p w:rsidR="00D71ABF" w:rsidRDefault="00D71ABF" w:rsidP="00D71ABF">
      <w:pPr>
        <w:pStyle w:val="Heading6"/>
        <w:shd w:val="clear" w:color="auto" w:fill="8C8C8C"/>
        <w:jc w:val="center"/>
        <w:rPr>
          <w:rFonts w:ascii="Arial" w:hAnsi="Arial" w:cs="Arial"/>
          <w:color w:val="FFFFFF"/>
          <w:sz w:val="24"/>
          <w:szCs w:val="24"/>
        </w:rPr>
      </w:pPr>
      <w:r>
        <w:rPr>
          <w:rFonts w:ascii="Arial" w:hAnsi="Arial" w:cs="Arial"/>
          <w:color w:val="FFFFFF"/>
          <w:sz w:val="24"/>
          <w:szCs w:val="24"/>
        </w:rPr>
        <w:t>Βήμα 1</w:t>
      </w:r>
      <w:r>
        <w:rPr>
          <w:rFonts w:ascii="Arial" w:hAnsi="Arial" w:cs="Arial"/>
          <w:color w:val="FFFFFF"/>
          <w:sz w:val="24"/>
          <w:szCs w:val="24"/>
          <w:vertAlign w:val="superscript"/>
        </w:rPr>
        <w:t>ο</w:t>
      </w:r>
    </w:p>
    <w:p w:rsidR="00D71ABF" w:rsidRDefault="00D71ABF" w:rsidP="00D71ABF"/>
    <w:p w:rsidR="00D71ABF" w:rsidRPr="00DD6BEB" w:rsidRDefault="00D71ABF" w:rsidP="00D71ABF">
      <w:pPr>
        <w:jc w:val="center"/>
        <w:rPr>
          <w:b/>
        </w:rPr>
      </w:pPr>
    </w:p>
    <w:p w:rsidR="00D71ABF" w:rsidRDefault="00D71ABF" w:rsidP="00D71ABF">
      <w:r>
        <w:t>Ο Νικόδημος το καλοκαίρι ήταν στο χωριό του παππού του και τον βοηθούσε στις γεωργικές του εργασίες. Ένα πρωινό που δούλευαν σε ένα από τα χωράφια το τρακτέρ του παππού ξέθαψε ένα αρχαιολογικό εύρημα. Μαζί και οι δυο επικοινώνησαν με την αρχαιολογική υπηρεσία. Η πρώτη πληροφορία που ζητούσαν μετά την περιγραφή ήταν μια εκτίμηση του εμβαδού του. Του Νικόδημου δεν του θύμιζε κάποιο γνωστό του σχήμα και έτσι σκέφτηκε να χρησιμοποιήσει ως μονάδα μέτρησης μερικά πράσινα πλαστικά πλακάκια που είχε ο παππούς στην αποθήκη.</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8629"/>
      </w:tblGrid>
      <w:tr w:rsidR="00D71ABF" w:rsidTr="00AE5442">
        <w:trPr>
          <w:trHeight w:val="3334"/>
          <w:tblCellSpacing w:w="20" w:type="dxa"/>
        </w:trPr>
        <w:tc>
          <w:tcPr>
            <w:tcW w:w="8549" w:type="dxa"/>
            <w:shd w:val="clear" w:color="auto" w:fill="auto"/>
          </w:tcPr>
          <w:p w:rsidR="00D71ABF" w:rsidRPr="00833830" w:rsidRDefault="00D71ABF" w:rsidP="00AE5442">
            <w:pPr>
              <w:jc w:val="center"/>
            </w:pPr>
            <w:r>
              <w:rPr>
                <w:noProof/>
              </w:rPr>
              <w:drawing>
                <wp:inline distT="0" distB="0" distL="0" distR="0">
                  <wp:extent cx="4699635" cy="2243455"/>
                  <wp:effectExtent l="0" t="0" r="571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635" cy="2243455"/>
                          </a:xfrm>
                          <a:prstGeom prst="rect">
                            <a:avLst/>
                          </a:prstGeom>
                          <a:noFill/>
                          <a:ln>
                            <a:noFill/>
                          </a:ln>
                        </pic:spPr>
                      </pic:pic>
                    </a:graphicData>
                  </a:graphic>
                </wp:inline>
              </w:drawing>
            </w:r>
          </w:p>
        </w:tc>
      </w:tr>
    </w:tbl>
    <w:p w:rsidR="00D71ABF" w:rsidRPr="007831A4" w:rsidRDefault="00D71ABF" w:rsidP="00D71ABF">
      <w:pPr>
        <w:jc w:val="center"/>
        <w:rPr>
          <w:b/>
        </w:rPr>
      </w:pPr>
      <w:r>
        <w:rPr>
          <w:b/>
        </w:rPr>
        <w:t>ΕΙΚΟΝΑ</w:t>
      </w:r>
      <w:r w:rsidR="00D400F9">
        <w:rPr>
          <w:b/>
        </w:rPr>
        <w:t>-1</w:t>
      </w:r>
    </w:p>
    <w:p w:rsidR="00D71ABF" w:rsidRDefault="00D71ABF" w:rsidP="00D71ABF">
      <w:r>
        <w:t xml:space="preserve">Ανοίξτε το αρχείο </w:t>
      </w:r>
      <w:r w:rsidR="00D400F9">
        <w:t>«Δραστηριότητα-1»</w:t>
      </w:r>
      <w:r>
        <w:t xml:space="preserve"> και σέρνοντας με πατημένο το ποντίκι μόνο τις πράσινες μονάδες προσπαθήστε να μετρήσετε μαζί με το Νικόδημο το εμβαδόν του ευρήματος. Τί παρατηρείτε;</w:t>
      </w:r>
    </w:p>
    <w:p w:rsidR="00D71ABF" w:rsidRDefault="00D71ABF" w:rsidP="00D71ABF">
      <w:r>
        <w:t xml:space="preserve"> </w:t>
      </w:r>
    </w:p>
    <w:p w:rsidR="00D400F9" w:rsidRDefault="00D400F9" w:rsidP="00D71ABF"/>
    <w:p w:rsidR="00D400F9" w:rsidRDefault="00D400F9" w:rsidP="00D71ABF"/>
    <w:p w:rsidR="00D400F9" w:rsidRDefault="00D400F9" w:rsidP="00D71ABF"/>
    <w:p w:rsidR="00D400F9" w:rsidRDefault="00D400F9" w:rsidP="00D71ABF"/>
    <w:p w:rsidR="00D71ABF" w:rsidRDefault="00D71ABF" w:rsidP="00D71ABF">
      <w:pPr>
        <w:pStyle w:val="Heading6"/>
        <w:shd w:val="clear" w:color="auto" w:fill="8C8C8C"/>
        <w:jc w:val="center"/>
        <w:rPr>
          <w:rFonts w:ascii="Arial" w:hAnsi="Arial" w:cs="Arial"/>
          <w:color w:val="FFFFFF"/>
          <w:sz w:val="24"/>
          <w:szCs w:val="24"/>
        </w:rPr>
      </w:pPr>
      <w:r>
        <w:rPr>
          <w:rFonts w:ascii="Arial" w:hAnsi="Arial" w:cs="Arial"/>
          <w:color w:val="FFFFFF"/>
          <w:sz w:val="24"/>
          <w:szCs w:val="24"/>
        </w:rPr>
        <w:lastRenderedPageBreak/>
        <w:t>Βήμα 2</w:t>
      </w:r>
      <w:r>
        <w:rPr>
          <w:rFonts w:ascii="Arial" w:hAnsi="Arial" w:cs="Arial"/>
          <w:color w:val="FFFFFF"/>
          <w:sz w:val="24"/>
          <w:szCs w:val="24"/>
          <w:vertAlign w:val="superscript"/>
        </w:rPr>
        <w:t>ο</w:t>
      </w:r>
    </w:p>
    <w:p w:rsidR="00D71ABF" w:rsidRDefault="00D71ABF" w:rsidP="00D71ABF">
      <w:pPr>
        <w:rPr>
          <w:b/>
          <w:bCs/>
          <w:color w:val="008000"/>
          <w:shd w:val="clear" w:color="auto" w:fill="00FFFF"/>
          <w:lang w:bidi="en-US"/>
        </w:rPr>
      </w:pPr>
    </w:p>
    <w:p w:rsidR="00D71ABF" w:rsidRDefault="00D71ABF" w:rsidP="00D71ABF">
      <w:r>
        <w:t>Έτσι ο Νικόδημος οδηγείται στη σκέψη να αξιοποιήσει και άλλα μικρότερα πλαστικά πλακάκια που έχει ο παππούς προκειμένου να επιτύχει μια μέτρηση όσο γίνεται πιο κοντά στην πραγματική επιφάνεια;</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602"/>
      </w:tblGrid>
      <w:tr w:rsidR="00D71ABF" w:rsidTr="00AE5442">
        <w:trPr>
          <w:tblCellSpacing w:w="20" w:type="dxa"/>
        </w:trPr>
        <w:tc>
          <w:tcPr>
            <w:tcW w:w="8522" w:type="dxa"/>
            <w:shd w:val="clear" w:color="auto" w:fill="auto"/>
          </w:tcPr>
          <w:p w:rsidR="00D71ABF" w:rsidRPr="00E927EA" w:rsidRDefault="00D71ABF" w:rsidP="00AE5442">
            <w:pPr>
              <w:jc w:val="center"/>
            </w:pPr>
            <w:r>
              <w:rPr>
                <w:noProof/>
              </w:rPr>
              <w:drawing>
                <wp:inline distT="0" distB="0" distL="0" distR="0">
                  <wp:extent cx="3476625" cy="263715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637155"/>
                          </a:xfrm>
                          <a:prstGeom prst="rect">
                            <a:avLst/>
                          </a:prstGeom>
                          <a:noFill/>
                          <a:ln>
                            <a:noFill/>
                          </a:ln>
                        </pic:spPr>
                      </pic:pic>
                    </a:graphicData>
                  </a:graphic>
                </wp:inline>
              </w:drawing>
            </w:r>
          </w:p>
        </w:tc>
      </w:tr>
    </w:tbl>
    <w:p w:rsidR="00D71ABF" w:rsidRPr="009B69B0" w:rsidRDefault="00D71ABF" w:rsidP="00D71ABF">
      <w:pPr>
        <w:jc w:val="center"/>
        <w:rPr>
          <w:b/>
        </w:rPr>
      </w:pPr>
      <w:r>
        <w:rPr>
          <w:b/>
        </w:rPr>
        <w:t>ΕΙΚΟΝΑ</w:t>
      </w:r>
      <w:r w:rsidR="00D8677F">
        <w:rPr>
          <w:b/>
        </w:rPr>
        <w:t>-</w:t>
      </w:r>
      <w:r>
        <w:rPr>
          <w:b/>
        </w:rPr>
        <w:t>2</w:t>
      </w:r>
    </w:p>
    <w:p w:rsidR="00D71ABF" w:rsidRDefault="00D71ABF" w:rsidP="00D71ABF">
      <w:r>
        <w:t>Ποια είναι η σχέση που συνδέει τα πράσινα πλακάκια με τα μικρότερα (δηλ τις υποδιαιρέσεις τους) ή τα μικρότερα (δηλ. τις υποδιαιρέσεις) μεταξύ τους;</w:t>
      </w:r>
    </w:p>
    <w:p w:rsidR="00D71ABF" w:rsidRDefault="00D71ABF" w:rsidP="00D71ABF"/>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316"/>
        <w:gridCol w:w="4316"/>
      </w:tblGrid>
      <w:tr w:rsidR="00D71ABF" w:rsidTr="00AE5442">
        <w:trPr>
          <w:tblCellSpacing w:w="20" w:type="dxa"/>
        </w:trPr>
        <w:tc>
          <w:tcPr>
            <w:tcW w:w="4256" w:type="dxa"/>
            <w:shd w:val="clear" w:color="auto" w:fill="auto"/>
          </w:tcPr>
          <w:p w:rsidR="00D71ABF" w:rsidRPr="00661CF3" w:rsidRDefault="00D71ABF" w:rsidP="00AE5442">
            <w:r>
              <w:t xml:space="preserve">Ένα </w:t>
            </w:r>
            <w:r>
              <w:rPr>
                <w:noProof/>
              </w:rPr>
              <w:drawing>
                <wp:inline distT="0" distB="0" distL="0" distR="0">
                  <wp:extent cx="510540" cy="5105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είναι ίσο με</w:t>
            </w:r>
          </w:p>
        </w:tc>
        <w:tc>
          <w:tcPr>
            <w:tcW w:w="4256" w:type="dxa"/>
            <w:shd w:val="clear" w:color="auto" w:fill="auto"/>
          </w:tcPr>
          <w:p w:rsidR="00D71ABF" w:rsidRPr="007B6EA1" w:rsidRDefault="00D71ABF" w:rsidP="00AE5442">
            <w:r>
              <w:t xml:space="preserve">...........    </w:t>
            </w:r>
            <w:r>
              <w:rPr>
                <w:noProof/>
              </w:rPr>
              <w:drawing>
                <wp:inline distT="0" distB="0" distL="0" distR="0">
                  <wp:extent cx="605790" cy="297815"/>
                  <wp:effectExtent l="0" t="0" r="381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p>
        </w:tc>
      </w:tr>
      <w:tr w:rsidR="00D71ABF" w:rsidTr="00AE5442">
        <w:trPr>
          <w:tblCellSpacing w:w="20" w:type="dxa"/>
        </w:trPr>
        <w:tc>
          <w:tcPr>
            <w:tcW w:w="4256" w:type="dxa"/>
            <w:shd w:val="clear" w:color="auto" w:fill="auto"/>
          </w:tcPr>
          <w:p w:rsidR="00D71ABF" w:rsidRPr="00661CF3" w:rsidRDefault="00D71ABF" w:rsidP="00AE5442">
            <w:r>
              <w:t xml:space="preserve">Ένα  </w:t>
            </w:r>
            <w:r>
              <w:rPr>
                <w:noProof/>
              </w:rPr>
              <w:drawing>
                <wp:inline distT="0" distB="0" distL="0" distR="0">
                  <wp:extent cx="510540" cy="5105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είναι ίσο με</w:t>
            </w:r>
          </w:p>
        </w:tc>
        <w:tc>
          <w:tcPr>
            <w:tcW w:w="4256" w:type="dxa"/>
            <w:shd w:val="clear" w:color="auto" w:fill="auto"/>
          </w:tcPr>
          <w:p w:rsidR="00D71ABF" w:rsidRPr="007B6EA1" w:rsidRDefault="00D71ABF" w:rsidP="00AE5442">
            <w:r>
              <w:t xml:space="preserve">...........    </w:t>
            </w:r>
            <w:r>
              <w:rPr>
                <w:noProof/>
              </w:rPr>
              <w:drawing>
                <wp:inline distT="0" distB="0" distL="0" distR="0">
                  <wp:extent cx="616585" cy="138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p>
        </w:tc>
      </w:tr>
      <w:tr w:rsidR="00D71ABF" w:rsidTr="00AE5442">
        <w:trPr>
          <w:tblCellSpacing w:w="20" w:type="dxa"/>
        </w:trPr>
        <w:tc>
          <w:tcPr>
            <w:tcW w:w="4256" w:type="dxa"/>
            <w:shd w:val="clear" w:color="auto" w:fill="auto"/>
          </w:tcPr>
          <w:p w:rsidR="00D71ABF" w:rsidRDefault="00D71ABF" w:rsidP="00AE5442">
            <w:r>
              <w:t xml:space="preserve">Ένα  </w:t>
            </w:r>
            <w:r>
              <w:rPr>
                <w:noProof/>
              </w:rPr>
              <w:drawing>
                <wp:inline distT="0" distB="0" distL="0" distR="0">
                  <wp:extent cx="510540" cy="5105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είναι ίσο με </w:t>
            </w:r>
          </w:p>
        </w:tc>
        <w:tc>
          <w:tcPr>
            <w:tcW w:w="4256" w:type="dxa"/>
            <w:shd w:val="clear" w:color="auto" w:fill="auto"/>
          </w:tcPr>
          <w:p w:rsidR="00D71ABF" w:rsidRPr="004B705B" w:rsidRDefault="00D71ABF" w:rsidP="00AE5442">
            <w:r>
              <w:t xml:space="preserve">...........    </w:t>
            </w:r>
            <w:r>
              <w:rPr>
                <w:noProof/>
              </w:rPr>
              <w:drawing>
                <wp:inline distT="0" distB="0" distL="0" distR="0">
                  <wp:extent cx="138430" cy="148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r w:rsidR="00D71ABF" w:rsidTr="00AE5442">
        <w:trPr>
          <w:tblCellSpacing w:w="20" w:type="dxa"/>
        </w:trPr>
        <w:tc>
          <w:tcPr>
            <w:tcW w:w="4256" w:type="dxa"/>
            <w:shd w:val="clear" w:color="auto" w:fill="auto"/>
          </w:tcPr>
          <w:p w:rsidR="00D71ABF" w:rsidRDefault="00D71ABF" w:rsidP="00AE5442">
            <w:r>
              <w:t xml:space="preserve">Ένα   </w:t>
            </w:r>
            <w:r>
              <w:rPr>
                <w:noProof/>
              </w:rPr>
              <w:drawing>
                <wp:inline distT="0" distB="0" distL="0" distR="0">
                  <wp:extent cx="605790" cy="29781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r>
              <w:t xml:space="preserve"> είναι ίσο με </w:t>
            </w:r>
          </w:p>
        </w:tc>
        <w:tc>
          <w:tcPr>
            <w:tcW w:w="4256" w:type="dxa"/>
            <w:shd w:val="clear" w:color="auto" w:fill="auto"/>
          </w:tcPr>
          <w:p w:rsidR="00D71ABF" w:rsidRPr="007B6EA1" w:rsidRDefault="00D71ABF" w:rsidP="00AE5442">
            <w:r>
              <w:t xml:space="preserve">...........    </w:t>
            </w:r>
            <w:r>
              <w:rPr>
                <w:noProof/>
              </w:rPr>
              <w:drawing>
                <wp:inline distT="0" distB="0" distL="0" distR="0">
                  <wp:extent cx="616585" cy="138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p>
        </w:tc>
      </w:tr>
      <w:tr w:rsidR="00D71ABF" w:rsidTr="00AE5442">
        <w:trPr>
          <w:tblCellSpacing w:w="20" w:type="dxa"/>
        </w:trPr>
        <w:tc>
          <w:tcPr>
            <w:tcW w:w="4256" w:type="dxa"/>
            <w:shd w:val="clear" w:color="auto" w:fill="auto"/>
          </w:tcPr>
          <w:p w:rsidR="00D71ABF" w:rsidRDefault="00D71ABF" w:rsidP="00AE5442">
            <w:r>
              <w:t xml:space="preserve">Ένα   </w:t>
            </w:r>
            <w:r>
              <w:rPr>
                <w:noProof/>
              </w:rPr>
              <w:drawing>
                <wp:inline distT="0" distB="0" distL="0" distR="0">
                  <wp:extent cx="616585" cy="138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138430"/>
                          </a:xfrm>
                          <a:prstGeom prst="rect">
                            <a:avLst/>
                          </a:prstGeom>
                          <a:noFill/>
                          <a:ln>
                            <a:noFill/>
                          </a:ln>
                        </pic:spPr>
                      </pic:pic>
                    </a:graphicData>
                  </a:graphic>
                </wp:inline>
              </w:drawing>
            </w:r>
            <w:r>
              <w:t xml:space="preserve"> είναι ίσο με </w:t>
            </w:r>
          </w:p>
        </w:tc>
        <w:tc>
          <w:tcPr>
            <w:tcW w:w="4256" w:type="dxa"/>
            <w:shd w:val="clear" w:color="auto" w:fill="auto"/>
          </w:tcPr>
          <w:p w:rsidR="00D71ABF" w:rsidRPr="004B705B" w:rsidRDefault="00D71ABF" w:rsidP="00AE5442">
            <w:r>
              <w:t xml:space="preserve">...........    </w:t>
            </w:r>
            <w:r>
              <w:rPr>
                <w:noProof/>
              </w:rPr>
              <w:drawing>
                <wp:inline distT="0" distB="0" distL="0" distR="0">
                  <wp:extent cx="138430" cy="148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r w:rsidR="00D71ABF" w:rsidTr="00AE5442">
        <w:trPr>
          <w:tblCellSpacing w:w="20" w:type="dxa"/>
        </w:trPr>
        <w:tc>
          <w:tcPr>
            <w:tcW w:w="4256" w:type="dxa"/>
            <w:shd w:val="clear" w:color="auto" w:fill="auto"/>
          </w:tcPr>
          <w:p w:rsidR="00D71ABF" w:rsidRDefault="00D71ABF" w:rsidP="00AE5442">
            <w:r>
              <w:t xml:space="preserve">Ένα   </w:t>
            </w:r>
            <w:r>
              <w:rPr>
                <w:noProof/>
              </w:rPr>
              <w:drawing>
                <wp:inline distT="0" distB="0" distL="0" distR="0">
                  <wp:extent cx="605790" cy="2978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297815"/>
                          </a:xfrm>
                          <a:prstGeom prst="rect">
                            <a:avLst/>
                          </a:prstGeom>
                          <a:noFill/>
                          <a:ln>
                            <a:noFill/>
                          </a:ln>
                        </pic:spPr>
                      </pic:pic>
                    </a:graphicData>
                  </a:graphic>
                </wp:inline>
              </w:drawing>
            </w:r>
            <w:r>
              <w:t xml:space="preserve">είναι ίσο με </w:t>
            </w:r>
          </w:p>
        </w:tc>
        <w:tc>
          <w:tcPr>
            <w:tcW w:w="4256" w:type="dxa"/>
            <w:shd w:val="clear" w:color="auto" w:fill="auto"/>
          </w:tcPr>
          <w:p w:rsidR="00D71ABF" w:rsidRPr="004B705B" w:rsidRDefault="00D71ABF" w:rsidP="00AE5442">
            <w:r>
              <w:t xml:space="preserve">...........    </w:t>
            </w:r>
            <w:r>
              <w:rPr>
                <w:noProof/>
              </w:rPr>
              <w:drawing>
                <wp:inline distT="0" distB="0" distL="0" distR="0">
                  <wp:extent cx="13843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p>
        </w:tc>
      </w:tr>
    </w:tbl>
    <w:p w:rsidR="00D71ABF" w:rsidRPr="009B69B0" w:rsidRDefault="00D71ABF" w:rsidP="00D71ABF">
      <w:pPr>
        <w:jc w:val="center"/>
        <w:rPr>
          <w:b/>
        </w:rPr>
      </w:pPr>
      <w:r>
        <w:rPr>
          <w:b/>
        </w:rPr>
        <w:t>ΠΙΝΑΚΑΣ</w:t>
      </w:r>
      <w:r w:rsidR="00D8677F">
        <w:rPr>
          <w:b/>
        </w:rPr>
        <w:t>-1</w:t>
      </w:r>
    </w:p>
    <w:p w:rsidR="00D71ABF" w:rsidRDefault="00D71ABF" w:rsidP="00D71ABF">
      <w:pPr>
        <w:rPr>
          <w:b/>
          <w:bCs/>
          <w:color w:val="008000"/>
          <w:shd w:val="clear" w:color="auto" w:fill="00FFFF"/>
          <w:lang w:bidi="en-US"/>
        </w:rPr>
      </w:pPr>
    </w:p>
    <w:p w:rsidR="00D71ABF" w:rsidRDefault="00D71ABF" w:rsidP="00D71ABF">
      <w:pPr>
        <w:pStyle w:val="Heading6"/>
        <w:shd w:val="clear" w:color="auto" w:fill="8C8C8C"/>
        <w:jc w:val="center"/>
        <w:rPr>
          <w:rFonts w:ascii="Arial" w:hAnsi="Arial" w:cs="Arial"/>
          <w:color w:val="FFFFFF"/>
          <w:sz w:val="24"/>
          <w:szCs w:val="24"/>
        </w:rPr>
      </w:pPr>
      <w:r>
        <w:rPr>
          <w:rFonts w:ascii="Arial" w:hAnsi="Arial" w:cs="Arial"/>
          <w:color w:val="FFFFFF"/>
          <w:sz w:val="24"/>
          <w:szCs w:val="24"/>
        </w:rPr>
        <w:t>Βήμα 3</w:t>
      </w:r>
      <w:r>
        <w:rPr>
          <w:rFonts w:ascii="Arial" w:hAnsi="Arial" w:cs="Arial"/>
          <w:color w:val="FFFFFF"/>
          <w:sz w:val="24"/>
          <w:szCs w:val="24"/>
          <w:vertAlign w:val="superscript"/>
        </w:rPr>
        <w:t>ο</w:t>
      </w:r>
    </w:p>
    <w:p w:rsidR="00D71ABF" w:rsidRDefault="00D71ABF" w:rsidP="00D71ABF">
      <w:pPr>
        <w:rPr>
          <w:b/>
          <w:bCs/>
          <w:color w:val="008000"/>
          <w:shd w:val="clear" w:color="auto" w:fill="00FFFF"/>
          <w:lang w:bidi="en-US"/>
        </w:rPr>
      </w:pPr>
    </w:p>
    <w:p w:rsidR="00D71ABF" w:rsidRDefault="00D71ABF" w:rsidP="00D71ABF">
      <w:r>
        <w:t xml:space="preserve">Ανοίξτε τώρα το αρχείο </w:t>
      </w:r>
      <w:r w:rsidR="00D8677F">
        <w:t>«Δραστηριότητα-</w:t>
      </w:r>
      <w:r w:rsidR="00D8677F">
        <w:t>2</w:t>
      </w:r>
      <w:r w:rsidR="00D8677F">
        <w:t>»</w:t>
      </w:r>
      <w:r>
        <w:t xml:space="preserve"> και χρησιμοποιείστε όπως νομίζετε τις παραπάνω μονάδες σέρνοντάς τες με το ποντίκι προκειμένου να υπολογίσετε με όσο το δυνατόν μεγαλύτερη ακρίβεια το εμβαδόν. </w:t>
      </w:r>
    </w:p>
    <w:p w:rsidR="00D71ABF" w:rsidRDefault="00D71ABF" w:rsidP="00D71ABF"/>
    <w:tbl>
      <w:tblPr>
        <w:tblW w:w="0" w:type="auto"/>
        <w:tblCellSpacing w:w="20" w:type="dxa"/>
        <w:tblBorders>
          <w:top w:val="inset" w:sz="6" w:space="0" w:color="FF6600"/>
          <w:left w:val="inset" w:sz="6" w:space="0" w:color="FF6600"/>
          <w:bottom w:val="inset" w:sz="6" w:space="0" w:color="FF6600"/>
          <w:right w:val="inset" w:sz="6" w:space="0" w:color="FF6600"/>
          <w:insideH w:val="inset" w:sz="6" w:space="0" w:color="FF6600"/>
          <w:insideV w:val="inset" w:sz="6" w:space="0" w:color="FF6600"/>
        </w:tblBorders>
        <w:tblLook w:val="00A0" w:firstRow="1" w:lastRow="0" w:firstColumn="1" w:lastColumn="0" w:noHBand="0" w:noVBand="0"/>
      </w:tblPr>
      <w:tblGrid>
        <w:gridCol w:w="8602"/>
      </w:tblGrid>
      <w:tr w:rsidR="00D71ABF" w:rsidTr="00AE5442">
        <w:trPr>
          <w:tblCellSpacing w:w="20" w:type="dxa"/>
        </w:trPr>
        <w:tc>
          <w:tcPr>
            <w:tcW w:w="8522" w:type="dxa"/>
            <w:shd w:val="clear" w:color="auto" w:fill="auto"/>
          </w:tcPr>
          <w:p w:rsidR="00D71ABF" w:rsidRDefault="00D71ABF" w:rsidP="00AE5442"/>
          <w:p w:rsidR="00D71ABF" w:rsidRDefault="00D71ABF" w:rsidP="00AE5442">
            <w:r>
              <w:t>Το εμβαδόν του σχήματος είναι:</w:t>
            </w:r>
          </w:p>
          <w:p w:rsidR="00D71ABF" w:rsidRDefault="00D71ABF" w:rsidP="00AE5442"/>
        </w:tc>
      </w:tr>
    </w:tbl>
    <w:p w:rsidR="00D71ABF" w:rsidRDefault="00D71ABF" w:rsidP="00D71ABF"/>
    <w:p w:rsidR="00D71ABF" w:rsidRDefault="00D71ABF" w:rsidP="00D71ABF">
      <w:r>
        <w:t>Να συγκρίνετε τις απαντήσεις σας. Ποια νομίζετε ότι πρέπει να δεχτούμε ως την πιο σωστή; Πως θα χρησιμοποιούσαμε το αποτέλεσμα που βρήκαμε προκειμένου να δώσουμε μια κατανοητή πληροφορία στους αρχαιολόγους από το τηλέφωνο;</w:t>
      </w:r>
    </w:p>
    <w:p w:rsidR="00D71ABF" w:rsidRDefault="00D71ABF" w:rsidP="00D71ABF">
      <w:pPr>
        <w:rPr>
          <w:b/>
          <w:bCs/>
          <w:color w:val="008000"/>
          <w:shd w:val="clear" w:color="auto" w:fill="00FFFF"/>
          <w:lang w:bidi="en-US"/>
        </w:rPr>
      </w:pPr>
    </w:p>
    <w:p w:rsidR="00D71ABF" w:rsidRDefault="00D71ABF" w:rsidP="00D71ABF">
      <w:pPr>
        <w:rPr>
          <w:b/>
          <w:bCs/>
          <w:color w:val="008000"/>
          <w:shd w:val="clear" w:color="auto" w:fill="00FFFF"/>
          <w:lang w:bidi="en-US"/>
        </w:rPr>
      </w:pPr>
    </w:p>
    <w:p w:rsidR="00DC07F6" w:rsidRDefault="00DC07F6">
      <w:bookmarkStart w:id="0" w:name="_GoBack"/>
      <w:bookmarkEnd w:id="0"/>
    </w:p>
    <w:sectPr w:rsidR="00DC07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BF"/>
    <w:rsid w:val="003747A6"/>
    <w:rsid w:val="00522D79"/>
    <w:rsid w:val="00D400F9"/>
    <w:rsid w:val="00D71ABF"/>
    <w:rsid w:val="00D8677F"/>
    <w:rsid w:val="00DC07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BF"/>
    <w:pPr>
      <w:spacing w:after="0" w:line="360" w:lineRule="auto"/>
      <w:jc w:val="both"/>
    </w:pPr>
    <w:rPr>
      <w:rFonts w:ascii="Verdana" w:eastAsia="Times New Roman" w:hAnsi="Verdana" w:cs="Times New Roman"/>
      <w:sz w:val="20"/>
      <w:szCs w:val="24"/>
      <w:lang w:eastAsia="el-GR"/>
    </w:rPr>
  </w:style>
  <w:style w:type="paragraph" w:styleId="Heading4">
    <w:name w:val="heading 4"/>
    <w:basedOn w:val="Normal"/>
    <w:next w:val="Normal"/>
    <w:link w:val="Heading4Char"/>
    <w:qFormat/>
    <w:rsid w:val="00D71ABF"/>
    <w:pPr>
      <w:keepNext/>
      <w:spacing w:before="240" w:after="60"/>
      <w:outlineLvl w:val="3"/>
    </w:pPr>
    <w:rPr>
      <w:rFonts w:ascii="Arial (W1)" w:hAnsi="Arial (W1)"/>
      <w:b/>
      <w:bCs/>
      <w:sz w:val="24"/>
      <w:szCs w:val="28"/>
    </w:rPr>
  </w:style>
  <w:style w:type="paragraph" w:styleId="Heading6">
    <w:name w:val="heading 6"/>
    <w:basedOn w:val="Normal"/>
    <w:next w:val="Normal"/>
    <w:link w:val="Heading6Char"/>
    <w:qFormat/>
    <w:rsid w:val="00D71ABF"/>
    <w:pPr>
      <w:spacing w:before="240" w:after="60"/>
      <w:outlineLvl w:val="5"/>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71ABF"/>
    <w:rPr>
      <w:rFonts w:ascii="Arial (W1)" w:eastAsia="Times New Roman" w:hAnsi="Arial (W1)" w:cs="Times New Roman"/>
      <w:b/>
      <w:bCs/>
      <w:sz w:val="24"/>
      <w:szCs w:val="28"/>
      <w:lang w:eastAsia="el-GR"/>
    </w:rPr>
  </w:style>
  <w:style w:type="character" w:customStyle="1" w:styleId="Heading6Char">
    <w:name w:val="Heading 6 Char"/>
    <w:basedOn w:val="DefaultParagraphFont"/>
    <w:link w:val="Heading6"/>
    <w:rsid w:val="00D71ABF"/>
    <w:rPr>
      <w:rFonts w:ascii="Verdana" w:eastAsia="Times New Roman" w:hAnsi="Verdana" w:cs="Times New Roman"/>
      <w:b/>
      <w:bCs/>
      <w:i/>
      <w:iCs/>
      <w:sz w:val="20"/>
      <w:lang w:eastAsia="el-GR"/>
    </w:rPr>
  </w:style>
  <w:style w:type="paragraph" w:styleId="BalloonText">
    <w:name w:val="Balloon Text"/>
    <w:basedOn w:val="Normal"/>
    <w:link w:val="BalloonTextChar"/>
    <w:uiPriority w:val="99"/>
    <w:semiHidden/>
    <w:unhideWhenUsed/>
    <w:rsid w:val="00D71A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BF"/>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BF"/>
    <w:pPr>
      <w:spacing w:after="0" w:line="360" w:lineRule="auto"/>
      <w:jc w:val="both"/>
    </w:pPr>
    <w:rPr>
      <w:rFonts w:ascii="Verdana" w:eastAsia="Times New Roman" w:hAnsi="Verdana" w:cs="Times New Roman"/>
      <w:sz w:val="20"/>
      <w:szCs w:val="24"/>
      <w:lang w:eastAsia="el-GR"/>
    </w:rPr>
  </w:style>
  <w:style w:type="paragraph" w:styleId="Heading4">
    <w:name w:val="heading 4"/>
    <w:basedOn w:val="Normal"/>
    <w:next w:val="Normal"/>
    <w:link w:val="Heading4Char"/>
    <w:qFormat/>
    <w:rsid w:val="00D71ABF"/>
    <w:pPr>
      <w:keepNext/>
      <w:spacing w:before="240" w:after="60"/>
      <w:outlineLvl w:val="3"/>
    </w:pPr>
    <w:rPr>
      <w:rFonts w:ascii="Arial (W1)" w:hAnsi="Arial (W1)"/>
      <w:b/>
      <w:bCs/>
      <w:sz w:val="24"/>
      <w:szCs w:val="28"/>
    </w:rPr>
  </w:style>
  <w:style w:type="paragraph" w:styleId="Heading6">
    <w:name w:val="heading 6"/>
    <w:basedOn w:val="Normal"/>
    <w:next w:val="Normal"/>
    <w:link w:val="Heading6Char"/>
    <w:qFormat/>
    <w:rsid w:val="00D71ABF"/>
    <w:pPr>
      <w:spacing w:before="240" w:after="60"/>
      <w:outlineLvl w:val="5"/>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71ABF"/>
    <w:rPr>
      <w:rFonts w:ascii="Arial (W1)" w:eastAsia="Times New Roman" w:hAnsi="Arial (W1)" w:cs="Times New Roman"/>
      <w:b/>
      <w:bCs/>
      <w:sz w:val="24"/>
      <w:szCs w:val="28"/>
      <w:lang w:eastAsia="el-GR"/>
    </w:rPr>
  </w:style>
  <w:style w:type="character" w:customStyle="1" w:styleId="Heading6Char">
    <w:name w:val="Heading 6 Char"/>
    <w:basedOn w:val="DefaultParagraphFont"/>
    <w:link w:val="Heading6"/>
    <w:rsid w:val="00D71ABF"/>
    <w:rPr>
      <w:rFonts w:ascii="Verdana" w:eastAsia="Times New Roman" w:hAnsi="Verdana" w:cs="Times New Roman"/>
      <w:b/>
      <w:bCs/>
      <w:i/>
      <w:iCs/>
      <w:sz w:val="20"/>
      <w:lang w:eastAsia="el-GR"/>
    </w:rPr>
  </w:style>
  <w:style w:type="paragraph" w:styleId="BalloonText">
    <w:name w:val="Balloon Text"/>
    <w:basedOn w:val="Normal"/>
    <w:link w:val="BalloonTextChar"/>
    <w:uiPriority w:val="99"/>
    <w:semiHidden/>
    <w:unhideWhenUsed/>
    <w:rsid w:val="00D71A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BF"/>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296</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Ioannis-home</dc:creator>
  <cp:lastModifiedBy>Ioannis-home</cp:lastModifiedBy>
  <cp:revision>2</cp:revision>
  <dcterms:created xsi:type="dcterms:W3CDTF">2013-12-01T14:55:00Z</dcterms:created>
  <dcterms:modified xsi:type="dcterms:W3CDTF">2014-01-06T16:29:00Z</dcterms:modified>
</cp:coreProperties>
</file>